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1% for Wildlife Bill  talking points</w:t>
      </w:r>
    </w:p>
    <w:p w:rsidR="00000000" w:rsidDel="00000000" w:rsidP="00000000" w:rsidRDefault="00000000" w:rsidRPr="00000000" w14:paraId="00000002">
      <w:pPr>
        <w:rPr>
          <w:i w:val="1"/>
          <w:iCs w:val="1"/>
        </w:rPr>
      </w:pPr>
      <w:r w:rsidDel="00000000" w:rsidR="00000000" w:rsidRPr="00000000">
        <w:rPr>
          <w:i w:val="1"/>
          <w:iCs w:val="1"/>
          <w:rtl w:val="0"/>
        </w:rPr>
        <w:t xml:space="preserve">Oregon Coast Visitors Association, November 2025 </w:t>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b w:val="1"/>
          <w:bCs w:val="1"/>
          <w:sz w:val="20"/>
          <w:szCs w:val="20"/>
          <w:rtl w:val="0"/>
        </w:rPr>
        <w:t xml:space="preserve">Background: </w:t>
      </w:r>
      <w:r w:rsidDel="00000000" w:rsidR="00000000" w:rsidRPr="00000000">
        <w:rPr>
          <w:sz w:val="20"/>
          <w:szCs w:val="20"/>
          <w:rtl w:val="0"/>
        </w:rPr>
        <w:t xml:space="preserve">1% for Wildlife" is a legislative proposal in Oregon (House Bill 2977) to increase the state's Transient Lodging Tax by 1% to fund wildlife and habitat conservation. The proposed increase would raise the tax from 1.5% to 2.5%, generating an estimated $30 million annually.</w:t>
      </w:r>
    </w:p>
    <w:p w:rsidR="00000000" w:rsidDel="00000000" w:rsidP="00000000" w:rsidRDefault="00000000" w:rsidRPr="00000000" w14:paraId="00000006">
      <w:pPr>
        <w:rPr>
          <w:sz w:val="20"/>
          <w:szCs w:val="20"/>
        </w:rPr>
      </w:pPr>
      <w:r w:rsidDel="00000000" w:rsidR="00000000" w:rsidRPr="00000000">
        <w:rPr>
          <w:sz w:val="20"/>
          <w:szCs w:val="20"/>
          <w:rtl w:val="0"/>
        </w:rPr>
        <w:t xml:space="preserve">The bill didn’t go through in 2025, but it’s up for reintroduction in 2026. </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b w:val="1"/>
          <w:bCs w:val="1"/>
          <w:sz w:val="20"/>
          <w:szCs w:val="20"/>
        </w:rPr>
      </w:pPr>
      <w:r w:rsidDel="00000000" w:rsidR="00000000" w:rsidRPr="00000000">
        <w:rPr>
          <w:b w:val="1"/>
          <w:bCs w:val="1"/>
          <w:sz w:val="20"/>
          <w:szCs w:val="20"/>
          <w:rtl w:val="0"/>
        </w:rPr>
        <w:t xml:space="preserve">OCVA’s position: </w:t>
      </w:r>
    </w:p>
    <w:p w:rsidR="00000000" w:rsidDel="00000000" w:rsidP="00000000" w:rsidRDefault="00000000" w:rsidRPr="00000000" w14:paraId="00000009">
      <w:pPr>
        <w:numPr>
          <w:ilvl w:val="0"/>
          <w:numId w:val="1"/>
        </w:numPr>
        <w:spacing w:after="0" w:afterAutospacing="0" w:before="240" w:lineRule="auto"/>
        <w:ind w:left="720" w:hanging="360"/>
        <w:rPr>
          <w:b w:val="1"/>
          <w:bCs w:val="1"/>
          <w:sz w:val="20"/>
          <w:szCs w:val="20"/>
        </w:rPr>
      </w:pPr>
      <w:r w:rsidDel="00000000" w:rsidR="00000000" w:rsidRPr="00000000">
        <w:rPr>
          <w:b w:val="1"/>
          <w:bCs w:val="1"/>
          <w:sz w:val="20"/>
          <w:szCs w:val="20"/>
          <w:rtl w:val="0"/>
        </w:rPr>
        <w:t xml:space="preserve">Responsible and transparency of tax dollars: </w:t>
      </w:r>
      <w:r w:rsidDel="00000000" w:rsidR="00000000" w:rsidRPr="00000000">
        <w:rPr>
          <w:rtl w:val="0"/>
        </w:rPr>
      </w:r>
    </w:p>
    <w:p w:rsidR="00000000" w:rsidDel="00000000" w:rsidP="00000000" w:rsidRDefault="00000000" w:rsidRPr="00000000" w14:paraId="0000000A">
      <w:pPr>
        <w:numPr>
          <w:ilvl w:val="1"/>
          <w:numId w:val="1"/>
        </w:numPr>
        <w:ind w:left="1440" w:hanging="360"/>
        <w:rPr>
          <w:b w:val="1"/>
          <w:bCs w:val="1"/>
          <w:sz w:val="20"/>
          <w:szCs w:val="20"/>
        </w:rPr>
      </w:pPr>
      <w:r w:rsidDel="00000000" w:rsidR="00000000" w:rsidRPr="00000000">
        <w:rPr>
          <w:sz w:val="20"/>
          <w:szCs w:val="20"/>
          <w:rtl w:val="0"/>
        </w:rPr>
        <w:t xml:space="preserve">A 1% tax increase will bring in a huge amount of money ($30 million annually), but there has been no plan presented on how exactly those funds will be used.</w:t>
      </w:r>
    </w:p>
    <w:p w:rsidR="00000000" w:rsidDel="00000000" w:rsidP="00000000" w:rsidRDefault="00000000" w:rsidRPr="00000000" w14:paraId="0000000B">
      <w:pPr>
        <w:numPr>
          <w:ilvl w:val="1"/>
          <w:numId w:val="1"/>
        </w:numPr>
        <w:ind w:left="1440" w:hanging="360"/>
        <w:rPr>
          <w:b w:val="1"/>
          <w:bCs w:val="1"/>
          <w:sz w:val="20"/>
          <w:szCs w:val="20"/>
        </w:rPr>
      </w:pPr>
      <w:r w:rsidDel="00000000" w:rsidR="00000000" w:rsidRPr="00000000">
        <w:rPr>
          <w:sz w:val="20"/>
          <w:szCs w:val="20"/>
          <w:rtl w:val="0"/>
        </w:rPr>
        <w:t xml:space="preserve">There has been no transparency about strategy, budget, reporting, and no formal participation or input from the environmental community on their specific priorities around wildlife.</w:t>
      </w:r>
    </w:p>
    <w:p w:rsidR="00000000" w:rsidDel="00000000" w:rsidP="00000000" w:rsidRDefault="00000000" w:rsidRPr="00000000" w14:paraId="0000000C">
      <w:pPr>
        <w:numPr>
          <w:ilvl w:val="1"/>
          <w:numId w:val="1"/>
        </w:numPr>
        <w:ind w:left="1440" w:hanging="360"/>
        <w:rPr>
          <w:b w:val="1"/>
          <w:bCs w:val="1"/>
          <w:sz w:val="20"/>
          <w:szCs w:val="20"/>
        </w:rPr>
      </w:pPr>
      <w:r w:rsidDel="00000000" w:rsidR="00000000" w:rsidRPr="00000000">
        <w:rPr>
          <w:sz w:val="20"/>
          <w:szCs w:val="20"/>
          <w:rtl w:val="0"/>
        </w:rPr>
        <w:t xml:space="preserve">This lack of transparency presents concerns about staffing and overhead, and how much money would actually be used for projects on the ground. </w:t>
      </w:r>
    </w:p>
    <w:p w:rsidR="00000000" w:rsidDel="00000000" w:rsidP="00000000" w:rsidRDefault="00000000" w:rsidRPr="00000000" w14:paraId="0000000D">
      <w:pPr>
        <w:numPr>
          <w:ilvl w:val="1"/>
          <w:numId w:val="1"/>
        </w:numPr>
        <w:ind w:left="1440" w:hanging="360"/>
        <w:rPr>
          <w:b w:val="1"/>
          <w:bCs w:val="1"/>
          <w:sz w:val="20"/>
          <w:szCs w:val="20"/>
        </w:rPr>
      </w:pPr>
      <w:r w:rsidDel="00000000" w:rsidR="00000000" w:rsidRPr="00000000">
        <w:rPr>
          <w:sz w:val="20"/>
          <w:szCs w:val="20"/>
          <w:rtl w:val="0"/>
        </w:rPr>
        <w:t xml:space="preserve">Ultimately, a tax like this needs to be rooted in relationships and trust. </w:t>
      </w:r>
    </w:p>
    <w:p w:rsidR="00000000" w:rsidDel="00000000" w:rsidP="00000000" w:rsidRDefault="00000000" w:rsidRPr="00000000" w14:paraId="0000000E">
      <w:pPr>
        <w:numPr>
          <w:ilvl w:val="1"/>
          <w:numId w:val="1"/>
        </w:numPr>
        <w:spacing w:after="0" w:afterAutospacing="0"/>
        <w:ind w:left="1440" w:hanging="360"/>
        <w:rPr>
          <w:sz w:val="20"/>
          <w:szCs w:val="20"/>
        </w:rPr>
      </w:pPr>
      <w:r w:rsidDel="00000000" w:rsidR="00000000" w:rsidRPr="00000000">
        <w:rPr>
          <w:sz w:val="20"/>
          <w:szCs w:val="20"/>
          <w:rtl w:val="0"/>
        </w:rPr>
        <w:t xml:space="preserve">If a tax like this were to be implemented, we ask that tourism to have a say in where the money goes. </w:t>
      </w:r>
    </w:p>
    <w:p w:rsidR="00000000" w:rsidDel="00000000" w:rsidP="00000000" w:rsidRDefault="00000000" w:rsidRPr="00000000" w14:paraId="0000000F">
      <w:pPr>
        <w:numPr>
          <w:ilvl w:val="0"/>
          <w:numId w:val="1"/>
        </w:numPr>
        <w:spacing w:after="0" w:afterAutospacing="0" w:before="0" w:beforeAutospacing="0" w:lineRule="auto"/>
        <w:ind w:left="720" w:hanging="360"/>
        <w:rPr>
          <w:b w:val="1"/>
          <w:bCs w:val="1"/>
          <w:sz w:val="20"/>
          <w:szCs w:val="20"/>
        </w:rPr>
      </w:pPr>
      <w:r w:rsidDel="00000000" w:rsidR="00000000" w:rsidRPr="00000000">
        <w:rPr>
          <w:b w:val="1"/>
          <w:bCs w:val="1"/>
          <w:sz w:val="20"/>
          <w:szCs w:val="20"/>
          <w:rtl w:val="0"/>
        </w:rPr>
        <w:t xml:space="preserve">Relationships: </w:t>
      </w:r>
    </w:p>
    <w:p w:rsidR="00000000" w:rsidDel="00000000" w:rsidP="00000000" w:rsidRDefault="00000000" w:rsidRPr="00000000" w14:paraId="00000010">
      <w:pPr>
        <w:numPr>
          <w:ilvl w:val="1"/>
          <w:numId w:val="1"/>
        </w:numPr>
        <w:spacing w:after="0" w:afterAutospacing="0" w:before="0" w:beforeAutospacing="0" w:lineRule="auto"/>
        <w:ind w:left="1440" w:hanging="360"/>
        <w:rPr>
          <w:b w:val="1"/>
          <w:bCs w:val="1"/>
          <w:sz w:val="20"/>
          <w:szCs w:val="20"/>
        </w:rPr>
      </w:pPr>
      <w:r w:rsidDel="00000000" w:rsidR="00000000" w:rsidRPr="00000000">
        <w:rPr>
          <w:sz w:val="20"/>
          <w:szCs w:val="20"/>
          <w:rtl w:val="0"/>
        </w:rPr>
        <w:t xml:space="preserve">We are strong allies in environmental efforts, as demonstrated by our extensive work in sustainability and regional resilience. We support these efforts through relationship building and strategic investment that comes out of conversations with our partners on the ground doing the work. </w:t>
      </w:r>
    </w:p>
    <w:p w:rsidR="00000000" w:rsidDel="00000000" w:rsidP="00000000" w:rsidRDefault="00000000" w:rsidRPr="00000000" w14:paraId="00000011">
      <w:pPr>
        <w:numPr>
          <w:ilvl w:val="2"/>
          <w:numId w:val="1"/>
        </w:numPr>
        <w:ind w:left="2160" w:hanging="360"/>
        <w:rPr>
          <w:sz w:val="20"/>
          <w:szCs w:val="20"/>
        </w:rPr>
      </w:pPr>
      <w:r w:rsidDel="00000000" w:rsidR="00000000" w:rsidRPr="00000000">
        <w:rPr>
          <w:sz w:val="20"/>
          <w:szCs w:val="20"/>
          <w:rtl w:val="0"/>
        </w:rPr>
        <w:t xml:space="preserve">Examples of coastal wildlife efforts we support through ongoing partners conversations: Kelp forests, reintroduction of sea otters, safety of snowy plovers, etc.  </w:t>
      </w:r>
    </w:p>
    <w:p w:rsidR="00000000" w:rsidDel="00000000" w:rsidP="00000000" w:rsidRDefault="00000000" w:rsidRPr="00000000" w14:paraId="00000012">
      <w:pPr>
        <w:numPr>
          <w:ilvl w:val="1"/>
          <w:numId w:val="1"/>
        </w:numPr>
        <w:ind w:left="1440" w:hanging="360"/>
        <w:rPr>
          <w:sz w:val="20"/>
          <w:szCs w:val="20"/>
        </w:rPr>
      </w:pPr>
      <w:r w:rsidDel="00000000" w:rsidR="00000000" w:rsidRPr="00000000">
        <w:rPr>
          <w:sz w:val="20"/>
          <w:szCs w:val="20"/>
          <w:rtl w:val="0"/>
        </w:rPr>
        <w:t xml:space="preserve">Despite the significant role that regional DMOs play in investing in environmental conservation, outdoor recreation, accessibility, and public education on responsible stewardship, the tourism industry was not consulted in the drafting of this bill. As key stakeholders in both tourism and sustainability, we should be part of this conversation</w:t>
      </w:r>
    </w:p>
    <w:p w:rsidR="00000000" w:rsidDel="00000000" w:rsidP="00000000" w:rsidRDefault="00000000" w:rsidRPr="00000000" w14:paraId="00000013">
      <w:pPr>
        <w:numPr>
          <w:ilvl w:val="0"/>
          <w:numId w:val="1"/>
        </w:numPr>
        <w:spacing w:after="0" w:afterAutospacing="0"/>
        <w:ind w:left="720" w:hanging="360"/>
        <w:rPr>
          <w:sz w:val="20"/>
          <w:szCs w:val="20"/>
        </w:rPr>
      </w:pPr>
      <w:r w:rsidDel="00000000" w:rsidR="00000000" w:rsidRPr="00000000">
        <w:rPr>
          <w:b w:val="1"/>
          <w:bCs w:val="1"/>
          <w:sz w:val="20"/>
          <w:szCs w:val="20"/>
          <w:rtl w:val="0"/>
        </w:rPr>
        <w:t xml:space="preserve">The tax increase poses harm to Oregon’s tourism industry.</w:t>
      </w:r>
      <w:r w:rsidDel="00000000" w:rsidR="00000000" w:rsidRPr="00000000">
        <w:rPr>
          <w:sz w:val="20"/>
          <w:szCs w:val="20"/>
          <w:rtl w:val="0"/>
        </w:rPr>
        <w:t xml:space="preserve"> The tourism industry voluntarily increased State-wide tax by .5% back in 2018. We could continue to increase taxes for the purpose of bringing more money into the tourism economy but have decided against it. </w:t>
      </w:r>
    </w:p>
    <w:p w:rsidR="00000000" w:rsidDel="00000000" w:rsidP="00000000" w:rsidRDefault="00000000" w:rsidRPr="00000000" w14:paraId="00000014">
      <w:pPr>
        <w:numPr>
          <w:ilvl w:val="1"/>
          <w:numId w:val="1"/>
        </w:numPr>
        <w:spacing w:after="240" w:before="0" w:beforeAutospacing="0" w:lineRule="auto"/>
        <w:ind w:left="1440" w:hanging="360"/>
        <w:rPr>
          <w:sz w:val="20"/>
          <w:szCs w:val="20"/>
        </w:rPr>
      </w:pPr>
      <w:r w:rsidDel="00000000" w:rsidR="00000000" w:rsidRPr="00000000">
        <w:rPr>
          <w:sz w:val="20"/>
          <w:szCs w:val="20"/>
          <w:rtl w:val="0"/>
        </w:rPr>
        <w:t xml:space="preserve">Unlike top global destinations, Oregon relies on competitive pricing to attract visitors, particularly for conferences and conventions, which are highly price-sensitive. A higher TLT would force businesses to lower room rates, reducing revenue for already struggling establishments. Additionally, many communities are already planning their own TLT increases to fund essential tourism infrastructure, such as convention centers. A statewide increase would create unnecessary competition, placing additional strain on cities and counties.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